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val="0"/>
        <w:overflowPunct/>
        <w:topLinePunct w:val="0"/>
        <w:snapToGrid/>
        <w:spacing w:line="576" w:lineRule="exact"/>
        <w:rPr>
          <w:rFonts w:ascii="Times New Roman" w:eastAsia="黑体" w:cs="Times New Roman" w:hAnsi="Times New Roman"/>
          <w:bCs/>
          <w:sz w:val="32"/>
          <w:szCs w:val="32"/>
          <w:lang w:bidi="ar-SA"/>
        </w:rPr>
      </w:pPr>
      <w:r>
        <w:rPr>
          <w:rFonts w:ascii="Times New Roman" w:eastAsia="黑体" w:cs="Times New Roman" w:hAnsi="Times New Roman"/>
          <w:bCs/>
          <w:sz w:val="32"/>
          <w:szCs w:val="32"/>
          <w:lang w:bidi="ar-SA"/>
        </w:rPr>
        <w:t>附件6</w:t>
      </w:r>
    </w:p>
    <w:p>
      <w:pPr>
        <w:keepNext w:val="0"/>
        <w:keepLines w:val="0"/>
        <w:pageBreakBefore w:val="0"/>
        <w:widowControl w:val="0"/>
        <w:kinsoku/>
        <w:wordWrap/>
        <w:overflowPunct/>
        <w:topLinePunct w:val="0"/>
        <w:autoSpaceDE/>
        <w:autoSpaceDN/>
        <w:bidi w:val="0"/>
        <w:adjustRightInd/>
        <w:snapToGrid/>
        <w:spacing w:line="300" w:lineRule="exact"/>
        <w:ind w:left="0"/>
        <w:textAlignment w:val="auto"/>
        <w:outlineLvl w:val="9"/>
        <w:rPr>
          <w:rFonts w:ascii="Times New Roman" w:eastAsia="宋体" w:cs="Times New Roman" w:hAnsi="Times New Roman"/>
          <w:color w:val="auto"/>
          <w:spacing w:val="0"/>
          <w:kern w:val="0"/>
          <w:sz w:val="28"/>
          <w:szCs w:val="28"/>
          <w:u w:val="none"/>
          <w:shd w:val="clear" w:color="auto" w:fill="FFFFFF"/>
          <w:lang w:val="en-US" w:eastAsia="zh-CN" w:bidi="ar-SA"/>
        </w:rPr>
      </w:pPr>
    </w:p>
    <w:p>
      <w:pPr>
        <w:keepNext w:val="0"/>
        <w:keepLines w:val="0"/>
        <w:pageBreakBefore w:val="0"/>
        <w:widowControl w:val="0"/>
        <w:suppressLineNumbers w:val="0"/>
        <w:suppressAutoHyphens w:val="0"/>
        <w:jc w:val="center"/>
        <w:rPr>
          <w:rFonts w:ascii="Times New Roman" w:eastAsia="方正小标宋_GBK" w:cs="Times New Roman" w:hAnsi="Times New Roman"/>
          <w:spacing w:val="-23"/>
          <w:sz w:val="44"/>
          <w:szCs w:val="44"/>
          <w:lang w:val="en-US" w:eastAsia="zh-CN" w:bidi="ar-SA"/>
        </w:rPr>
      </w:pPr>
      <w:r>
        <w:rPr>
          <w:rFonts w:ascii="Times New Roman" w:eastAsia="方正小标宋_GBK" w:cs="Times New Roman" w:hAnsi="Times New Roman"/>
          <w:spacing w:val="-23"/>
          <w:sz w:val="44"/>
          <w:szCs w:val="44"/>
          <w:lang w:val="en-US" w:eastAsia="zh-CN" w:bidi="ar-SA"/>
        </w:rPr>
        <w:t>巴中市工程建设领域农民工工资专用账户管理协议</w:t>
      </w:r>
    </w:p>
    <w:p>
      <w:pPr>
        <w:keepNext w:val="0"/>
        <w:keepLines w:val="0"/>
        <w:pageBreakBefore w:val="0"/>
        <w:widowControl w:val="0"/>
        <w:suppressLineNumbers w:val="0"/>
        <w:suppressAutoHyphens w:val="0"/>
        <w:spacing w:line="576" w:lineRule="exact"/>
        <w:jc w:val="center"/>
        <w:rPr>
          <w:rFonts w:ascii="Times New Roman" w:eastAsia="方正小标宋_GBK" w:cs="Times New Roman" w:hAnsi="Times New Roman"/>
          <w:sz w:val="36"/>
          <w:szCs w:val="36"/>
          <w:lang w:val="en-US" w:eastAsia="zh-CN" w:bidi="ar-SA"/>
        </w:rPr>
      </w:pPr>
      <w:r>
        <w:rPr>
          <w:rFonts w:ascii="CESI仿宋-GB13000" w:eastAsia="CESI仿宋-GB13000" w:cs="Times New Roman" w:hint="eastAsia"/>
          <w:sz w:val="36"/>
          <w:szCs w:val="36"/>
          <w:lang w:val="en-US" w:eastAsia="zh-CN" w:bidi="ar-SA"/>
        </w:rPr>
        <w:t>（参考文本）</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方正黑体_GBK" w:eastAsia="方正黑体_GBK" w:cs="方正黑体_GBK" w:hint="eastAsia"/>
          <w:bCs/>
          <w:sz w:val="32"/>
          <w:szCs w:val="32"/>
          <w:lang w:val="en-US" w:eastAsia="zh-CN" w:bidi="ar-SA"/>
        </w:rPr>
      </w:pPr>
      <w:r>
        <w:rPr>
          <w:rFonts w:ascii="方正黑体_GBK" w:eastAsia="方正黑体_GBK" w:cs="方正黑体_GBK" w:hint="eastAsia"/>
          <w:bCs/>
          <w:sz w:val="32"/>
          <w:szCs w:val="32"/>
          <w:lang w:val="en-US" w:eastAsia="zh-CN" w:bidi="ar-SA"/>
        </w:rPr>
        <w:t>甲方(建设单位)：</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方正黑体_GBK" w:eastAsia="方正黑体_GBK" w:cs="方正黑体_GBK" w:hint="eastAsia"/>
          <w:bCs/>
          <w:sz w:val="32"/>
          <w:szCs w:val="32"/>
          <w:lang w:val="en-US" w:eastAsia="zh-CN" w:bidi="ar-SA"/>
        </w:rPr>
      </w:pPr>
      <w:r>
        <w:rPr>
          <w:rFonts w:ascii="方正黑体_GBK" w:eastAsia="方正黑体_GBK" w:cs="方正黑体_GBK" w:hint="eastAsia"/>
          <w:bCs/>
          <w:sz w:val="32"/>
          <w:szCs w:val="32"/>
          <w:lang w:val="en-US" w:eastAsia="zh-CN" w:bidi="ar-SA"/>
        </w:rPr>
        <w:t>乙方(总包单位)：</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方正黑体_GBK" w:eastAsia="方正黑体_GBK" w:cs="方正黑体_GBK" w:hint="eastAsia"/>
          <w:bCs/>
          <w:sz w:val="32"/>
          <w:szCs w:val="32"/>
          <w:lang w:val="en-US" w:eastAsia="zh-CN" w:bidi="ar-SA"/>
        </w:rPr>
      </w:pPr>
      <w:r>
        <w:rPr>
          <w:rFonts w:ascii="方正黑体_GBK" w:eastAsia="方正黑体_GBK" w:cs="方正黑体_GBK" w:hint="eastAsia"/>
          <w:bCs/>
          <w:sz w:val="32"/>
          <w:szCs w:val="32"/>
          <w:lang w:val="en-US" w:eastAsia="zh-CN" w:bidi="ar-SA"/>
        </w:rPr>
        <w:t>丙方(开户银行)：</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方正黑体_GBK" w:eastAsia="方正黑体_GBK" w:cs="方正黑体_GBK" w:hint="eastAsia"/>
          <w:bCs/>
          <w:sz w:val="32"/>
          <w:szCs w:val="32"/>
          <w:lang w:val="en-US" w:eastAsia="zh-CN" w:bidi="ar-SA"/>
        </w:rPr>
      </w:pPr>
      <w:r>
        <w:rPr>
          <w:rFonts w:ascii="方正黑体_GBK" w:eastAsia="方正黑体_GBK" w:cs="方正黑体_GBK" w:hint="eastAsia"/>
          <w:bCs/>
          <w:sz w:val="32"/>
          <w:szCs w:val="32"/>
          <w:lang w:val="en-US" w:eastAsia="zh-CN" w:bidi="ar-SA"/>
        </w:rPr>
        <w:t>建设项目名称：</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根据工程建设领域农民工工资专用账户管理的相关规定,甲、乙、丙三方共同设置</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项目农民工工资专用账户（账户名：</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，账号：</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为保证工程建设领域农民工工资专用账户（以下简称专用账户）资金专款专用及工人工资按时支付，甲、乙双方委托丙方为本项目专用账户资金监管人，为项目专用账户资金提供监督管理，并按照本协议约定履行相关信息披露等服务。甲、乙、丙三方经友好协商，达成以下协议，并共同遵守。</w:t>
      </w:r>
    </w:p>
    <w:p>
      <w:pPr>
        <w:keepNext w:val="0"/>
        <w:keepLines w:val="0"/>
        <w:pageBreakBefore w:val="0"/>
        <w:widowControl w:val="0"/>
        <w:kinsoku/>
        <w:wordWrap/>
        <w:overflowPunct/>
        <w:topLinePunct w:val="0"/>
        <w:autoSpaceDE/>
        <w:autoSpaceDN/>
        <w:bidi w:val="0"/>
        <w:adjustRightInd/>
        <w:snapToGrid/>
        <w:spacing w:beforeLines="50" w:before="156" w:afterLines="50" w:after="156" w:line="576" w:lineRule="exact"/>
        <w:ind w:left="0" w:firstLine="0"/>
        <w:jc w:val="center"/>
        <w:textAlignment w:val="auto"/>
        <w:rPr>
          <w:rFonts w:ascii="Times New Roman" w:eastAsia="方正黑体_GBK" w:cs="Times New Roman" w:hAnsi="Times New Roman"/>
          <w:bCs/>
          <w:sz w:val="32"/>
          <w:szCs w:val="32"/>
          <w:lang w:val="en-US" w:eastAsia="zh-CN" w:bidi="ar-SA"/>
        </w:rPr>
      </w:pPr>
      <w:r>
        <w:rPr>
          <w:rFonts w:ascii="Times New Roman" w:eastAsia="方正黑体_GBK" w:cs="Times New Roman" w:hAnsi="Times New Roman"/>
          <w:bCs/>
          <w:sz w:val="32"/>
          <w:szCs w:val="32"/>
          <w:lang w:val="en-US" w:eastAsia="zh-CN" w:bidi="ar-SA"/>
        </w:rPr>
        <w:t>第一章 专用账户开立及管理</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第一条 专用账户的设立。乙方须在丙方处开立农民工工资专用账户，用于</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项目农民工工资发放，专用账户内资金不得擅自挪用，不得开通现金支取和其他转账结算服务，不得将专用账户资金转入除本项目工人本人银行账户以外的账户。</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第二条 专用账户的管理。项目建设期间，丙方负责对专用账户进行监督管理。丙方需根据本协议约定的条件办理资金划拨手续。</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甲方监督发现专用账户资金有不符合本协议规定要求的，应及时将监督结果书面反馈给丙方，明确丙方应中止办理支付；满足重新办理工人工资支付情形的，需经各方协商一致，丙方收到协商一致的处理意见书后按规定办理。</w:t>
      </w:r>
    </w:p>
    <w:p>
      <w:pPr>
        <w:keepNext w:val="0"/>
        <w:keepLines w:val="0"/>
        <w:pageBreakBefore w:val="0"/>
        <w:widowControl w:val="0"/>
        <w:kinsoku/>
        <w:wordWrap/>
        <w:overflowPunct/>
        <w:topLinePunct w:val="0"/>
        <w:autoSpaceDE/>
        <w:autoSpaceDN/>
        <w:bidi w:val="0"/>
        <w:adjustRightInd/>
        <w:snapToGrid/>
        <w:spacing w:beforeLines="50" w:before="156" w:afterLines="50" w:after="156" w:line="576" w:lineRule="exact"/>
        <w:ind w:left="0" w:firstLine="0"/>
        <w:jc w:val="center"/>
        <w:textAlignment w:val="auto"/>
        <w:rPr>
          <w:rFonts w:ascii="Times New Roman" w:eastAsia="方正黑体_GBK" w:cs="Times New Roman" w:hAnsi="Times New Roman"/>
          <w:bCs/>
          <w:sz w:val="32"/>
          <w:szCs w:val="32"/>
          <w:lang w:bidi="ar-SA"/>
        </w:rPr>
      </w:pPr>
      <w:r>
        <w:rPr>
          <w:rFonts w:ascii="Times New Roman" w:eastAsia="方正黑体_GBK" w:cs="Times New Roman" w:hAnsi="Times New Roman"/>
          <w:bCs/>
          <w:sz w:val="32"/>
          <w:szCs w:val="32"/>
          <w:lang w:bidi="ar-SA"/>
        </w:rPr>
        <w:t>第二章 职责和期限</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第三条  丙方作为开户银行，应履行以下职责：</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（一）开立专用账户，保管监管资金，确保资金安全和账户专用属性；</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（二）乙方提供每月工人工资清单审核表后，3日内完成工人工资发放；</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（三）及时披露受监管资金的相关信息，每月</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日前将工资专用账户拨款对账单报乙方核对，同时应按甲方需求配合提供对账单据。</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（四）甲方有权监督专用账户资金支付情况，丙方应配合提供专用账户支付明细记录。</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（五）甲方、乙方授权丙方将专用账户开立、撤销、资金拨付、划转等详细信息披露给人力资源社会保障部门、相关行业工程建设主管部门。</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第四条  协议期限。丙方对专用账户内资金履行监督</w:t>
      </w:r>
      <w:r>
        <w:rPr>
          <w:rFonts w:ascii="Times New Roman" w:eastAsia="CESI仿宋-GB13000" w:cs="Times New Roman" w:hAnsi="Times New Roman"/>
          <w:bCs/>
          <w:sz w:val="32"/>
          <w:szCs w:val="32"/>
          <w:lang w:val="en-US" w:eastAsia="zh-CN" w:bidi="ar-SA"/>
        </w:rPr>
        <w:t>管理</w:t>
      </w:r>
      <w:r>
        <w:rPr>
          <w:rFonts w:ascii="Times New Roman" w:eastAsia="CESI仿宋-GB13000" w:cs="Times New Roman" w:hAnsi="Times New Roman"/>
          <w:bCs/>
          <w:sz w:val="32"/>
          <w:szCs w:val="32"/>
          <w:lang w:val="en-US" w:eastAsia="zh-CN" w:bidi="ar-SA"/>
        </w:rPr>
        <w:t>职责的期限自资金划入专用账户之日起至收到建设项目所在地监管部门审核通过的</w:t>
      </w:r>
      <w:r>
        <w:rPr>
          <w:rFonts w:ascii="Times New Roman" w:eastAsia="CESI仿宋-GB13000" w:cs="Times New Roman" w:hAnsi="Times New Roman"/>
          <w:bCs/>
          <w:sz w:val="32"/>
          <w:szCs w:val="32"/>
          <w:lang w:bidi="ar-SA"/>
        </w:rPr>
        <w:t>《工程建设项目</w:t>
      </w:r>
      <w:r>
        <w:rPr>
          <w:rFonts w:ascii="Times New Roman" w:eastAsia="CESI仿宋-GB13000" w:cs="Times New Roman" w:hAnsi="Times New Roman"/>
          <w:bCs/>
          <w:sz w:val="32"/>
          <w:szCs w:val="32"/>
          <w:lang w:bidi="ar-SA"/>
        </w:rPr>
        <w:t>农民工</w:t>
      </w:r>
      <w:r>
        <w:rPr>
          <w:rFonts w:ascii="Times New Roman" w:eastAsia="CESI仿宋-GB13000" w:cs="Times New Roman" w:hAnsi="Times New Roman"/>
          <w:bCs/>
          <w:sz w:val="32"/>
          <w:szCs w:val="32"/>
          <w:lang w:bidi="ar-SA"/>
        </w:rPr>
        <w:t>工资</w:t>
      </w:r>
      <w:r>
        <w:rPr>
          <w:rFonts w:ascii="Times New Roman" w:eastAsia="CESI仿宋-GB13000" w:cs="Times New Roman" w:hAnsi="Times New Roman"/>
          <w:bCs/>
          <w:sz w:val="32"/>
          <w:szCs w:val="32"/>
          <w:lang w:bidi="ar-SA"/>
        </w:rPr>
        <w:t>专用账户</w:t>
      </w:r>
      <w:r>
        <w:rPr>
          <w:rFonts w:ascii="Times New Roman" w:eastAsia="CESI仿宋-GB13000" w:cs="Times New Roman" w:hAnsi="Times New Roman"/>
          <w:bCs/>
          <w:sz w:val="32"/>
          <w:szCs w:val="32"/>
          <w:lang w:bidi="ar-SA"/>
        </w:rPr>
        <w:t>撤销申请表》为</w:t>
      </w:r>
      <w:r>
        <w:rPr>
          <w:rFonts w:ascii="Times New Roman" w:eastAsia="CESI仿宋-GB13000" w:cs="Times New Roman" w:hAnsi="Times New Roman"/>
          <w:bCs/>
          <w:sz w:val="32"/>
          <w:szCs w:val="32"/>
          <w:lang w:val="en-US" w:eastAsia="zh-CN" w:bidi="ar-SA"/>
        </w:rPr>
        <w:t>止。</w:t>
      </w:r>
    </w:p>
    <w:p>
      <w:pPr>
        <w:keepNext w:val="0"/>
        <w:keepLines w:val="0"/>
        <w:pageBreakBefore w:val="0"/>
        <w:widowControl w:val="0"/>
        <w:kinsoku/>
        <w:wordWrap/>
        <w:overflowPunct/>
        <w:topLinePunct w:val="0"/>
        <w:autoSpaceDE/>
        <w:autoSpaceDN/>
        <w:bidi w:val="0"/>
        <w:adjustRightInd/>
        <w:snapToGrid/>
        <w:spacing w:beforeLines="50" w:before="156" w:afterLines="50" w:after="156" w:line="576" w:lineRule="exact"/>
        <w:ind w:left="0" w:firstLine="0"/>
        <w:jc w:val="center"/>
        <w:textAlignment w:val="auto"/>
        <w:rPr>
          <w:rFonts w:ascii="Times New Roman" w:eastAsia="方正黑体_GBK" w:cs="Times New Roman" w:hAnsi="Times New Roman"/>
          <w:bCs/>
          <w:sz w:val="32"/>
          <w:szCs w:val="32"/>
          <w:lang w:val="en-US" w:eastAsia="zh-CN" w:bidi="ar-SA"/>
        </w:rPr>
      </w:pPr>
      <w:r>
        <w:rPr>
          <w:rFonts w:ascii="Times New Roman" w:eastAsia="方正黑体_GBK" w:cs="Times New Roman" w:hAnsi="Times New Roman"/>
          <w:bCs/>
          <w:sz w:val="32"/>
          <w:szCs w:val="32"/>
          <w:lang w:val="en-US" w:eastAsia="zh-CN" w:bidi="ar-SA"/>
        </w:rPr>
        <w:t>第三章 专用账户资金的收付</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第五条  专用账户资金存入。甲方于</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年</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月</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日前将工程预付款中的人工费用按施工合同约定比例拨付乙方专用账户。开工建设后，甲方按月核定乙方提供的人工费用数额，于每月</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 xml:space="preserve">日前将人工费用拨付乙方专用账户。 </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bidi="ar-SA"/>
        </w:rPr>
      </w:pPr>
      <w:r>
        <w:rPr>
          <w:rFonts w:ascii="Times New Roman" w:eastAsia="CESI仿宋-GB13000" w:cs="Times New Roman" w:hAnsi="Times New Roman"/>
          <w:bCs/>
          <w:sz w:val="32"/>
          <w:szCs w:val="32"/>
          <w:lang w:bidi="ar-SA"/>
        </w:rPr>
        <w:t>工程进度款结算当月，根据施工合同约定，累计拨付人工费用占工程进度实际累计结算金额的比例不低于</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bidi="ar-SA"/>
        </w:rPr>
        <w:t>%，丙方确认资金到账后对账户履行监督管理职责。（人工费用占工程进度款或预付款约定比列，房屋建筑项目不低于30%，市政基础设施项目不低于20%，交通项目不低于20%，水利项目不低于15%，基础设施建设的建筑工程、线路管道、设备安装、工程装饰装修、城市园林绿化、铁路建设等各种新建、扩建、改建工程建设项目不低于15%）</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第六条 专用账户资金拨付。每月</w:t>
      </w:r>
      <w:r>
        <w:rPr>
          <w:rFonts w:ascii="Times New Roman" w:eastAsia="CESI仿宋-GB13000" w:cs="Times New Roman" w:hAnsi="Times New Roman"/>
          <w:bCs/>
          <w:sz w:val="32"/>
          <w:szCs w:val="32"/>
          <w:u w:val="single"/>
          <w:lang w:val="en-US" w:eastAsia="zh-CN" w:bidi="ar-SA"/>
        </w:rPr>
        <w:t xml:space="preserve">   </w:t>
      </w:r>
      <w:r>
        <w:rPr>
          <w:rFonts w:ascii="Times New Roman" w:eastAsia="CESI仿宋-GB13000" w:cs="Times New Roman" w:hAnsi="Times New Roman"/>
          <w:bCs/>
          <w:sz w:val="32"/>
          <w:szCs w:val="32"/>
          <w:lang w:val="en-US" w:eastAsia="zh-CN" w:bidi="ar-SA"/>
        </w:rPr>
        <w:t>日前，乙方负责将工人工资清单报丙方，由丙方从专用账户直接划拨至工人本人银行账户上。工人本人银行账户信息和工资清单的真实性、准确性由乙方负责。</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第七条 丙方支持农民工使用本人的具有金融功能的社会保障卡或者现有银行卡领取工资，农民工使用他行社会保障卡银行账户或他行银行卡的，开户银行应当减免跨行代发工资手续费率。</w:t>
      </w:r>
    </w:p>
    <w:p>
      <w:pPr>
        <w:keepNext w:val="0"/>
        <w:keepLines w:val="0"/>
        <w:pageBreakBefore w:val="0"/>
        <w:widowControl w:val="0"/>
        <w:kinsoku/>
        <w:wordWrap/>
        <w:overflowPunct/>
        <w:topLinePunct w:val="0"/>
        <w:autoSpaceDE/>
        <w:autoSpaceDN/>
        <w:bidi w:val="0"/>
        <w:adjustRightInd/>
        <w:snapToGrid/>
        <w:spacing w:beforeLines="50" w:before="156" w:afterLines="50" w:after="156" w:line="576" w:lineRule="exact"/>
        <w:ind w:left="0" w:firstLine="0"/>
        <w:jc w:val="center"/>
        <w:textAlignment w:val="auto"/>
        <w:rPr>
          <w:rFonts w:ascii="Times New Roman" w:eastAsia="方正黑体_GBK" w:cs="Times New Roman" w:hAnsi="Times New Roman"/>
          <w:bCs/>
          <w:sz w:val="32"/>
          <w:szCs w:val="32"/>
          <w:lang w:bidi="ar-SA"/>
        </w:rPr>
      </w:pPr>
      <w:r>
        <w:rPr>
          <w:rFonts w:ascii="Times New Roman" w:eastAsia="方正黑体_GBK" w:cs="Times New Roman" w:hAnsi="Times New Roman"/>
          <w:bCs/>
          <w:sz w:val="32"/>
          <w:szCs w:val="32"/>
          <w:lang w:bidi="ar-SA"/>
        </w:rPr>
        <w:t>第四章 协议生效与终止</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center"/>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w:t>
      </w:r>
      <w:r>
        <w:rPr>
          <w:rFonts w:ascii="Times New Roman" w:eastAsia="CESI仿宋-GB13000" w:cs="Times New Roman" w:hAnsi="Times New Roman"/>
          <w:bCs/>
          <w:sz w:val="32"/>
          <w:szCs w:val="32"/>
          <w:lang w:val="en-US" w:eastAsia="zh-CN" w:bidi="ar-SA"/>
        </w:rPr>
        <w:t>八</w:t>
      </w:r>
      <w:r>
        <w:rPr>
          <w:rFonts w:ascii="Times New Roman" w:eastAsia="CESI仿宋-GB13000" w:cs="Times New Roman" w:hAnsi="Times New Roman"/>
          <w:bCs/>
          <w:sz w:val="32"/>
          <w:szCs w:val="32"/>
          <w:lang w:val="en-US" w:eastAsia="zh-CN" w:bidi="ar-SA"/>
        </w:rPr>
        <w:t>条  本协议经甲、乙、丙三方法定代表人或其授权代理人签字或签章并加盖公章（业务章、合同专用章）之日起生效。专用账户撤销，丙方全额解付该监管资金后，本协议终止。</w:t>
      </w:r>
    </w:p>
    <w:p>
      <w:pPr>
        <w:keepNext w:val="0"/>
        <w:keepLines w:val="0"/>
        <w:pageBreakBefore w:val="0"/>
        <w:widowControl w:val="0"/>
        <w:kinsoku/>
        <w:wordWrap/>
        <w:overflowPunct/>
        <w:topLinePunct w:val="0"/>
        <w:autoSpaceDE/>
        <w:autoSpaceDN/>
        <w:bidi w:val="0"/>
        <w:adjustRightInd/>
        <w:snapToGrid/>
        <w:spacing w:beforeLines="50" w:before="156" w:afterLines="50" w:after="156" w:line="576" w:lineRule="exact"/>
        <w:ind w:left="0" w:firstLine="0"/>
        <w:jc w:val="center"/>
        <w:textAlignment w:val="auto"/>
        <w:rPr>
          <w:rFonts w:ascii="Times New Roman" w:eastAsia="方正黑体_GBK" w:cs="Times New Roman" w:hAnsi="Times New Roman"/>
          <w:bCs/>
          <w:sz w:val="32"/>
          <w:szCs w:val="32"/>
          <w:lang w:val="en-US" w:eastAsia="zh-CN" w:bidi="ar-SA"/>
        </w:rPr>
      </w:pPr>
      <w:r>
        <w:rPr>
          <w:rFonts w:ascii="Times New Roman" w:eastAsia="方正黑体_GBK" w:cs="Times New Roman" w:hAnsi="Times New Roman"/>
          <w:bCs/>
          <w:sz w:val="32"/>
          <w:szCs w:val="32"/>
          <w:lang w:val="en-US" w:eastAsia="zh-CN" w:bidi="ar-SA"/>
        </w:rPr>
        <w:t>第五章 违约责任和免责条件</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w:t>
      </w:r>
      <w:r>
        <w:rPr>
          <w:rFonts w:ascii="Times New Roman" w:eastAsia="CESI仿宋-GB13000" w:cs="Times New Roman" w:hAnsi="Times New Roman"/>
          <w:bCs/>
          <w:sz w:val="32"/>
          <w:szCs w:val="32"/>
          <w:lang w:val="en-US" w:eastAsia="zh-CN" w:bidi="ar-SA"/>
        </w:rPr>
        <w:t>九</w:t>
      </w:r>
      <w:r>
        <w:rPr>
          <w:rFonts w:ascii="Times New Roman" w:eastAsia="CESI仿宋-GB13000" w:cs="Times New Roman" w:hAnsi="Times New Roman"/>
          <w:bCs/>
          <w:sz w:val="32"/>
          <w:szCs w:val="32"/>
          <w:lang w:val="en-US" w:eastAsia="zh-CN" w:bidi="ar-SA"/>
        </w:rPr>
        <w:t>条 在项目建设中，甲方未及时拨付人工费用的，乙方提供虚假资料挪用、套用资金的，视为违约。按相关规定追究违约责任。</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第十条 在资金监管期间，丙方未按照合同约定的支付条件办理资金支付而造成的直接损失，丙方应承担赔偿责任。因有关机关查封、冻结、扣划等非丙方原因致使无法履行本协议项下义务的，丙方不承担任何责任。</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第十</w:t>
      </w:r>
      <w:r>
        <w:rPr>
          <w:rFonts w:ascii="Times New Roman" w:eastAsia="CESI仿宋-GB13000" w:cs="Times New Roman" w:hAnsi="Times New Roman"/>
          <w:bCs/>
          <w:sz w:val="32"/>
          <w:szCs w:val="32"/>
          <w:lang w:val="en-US" w:eastAsia="zh-CN" w:bidi="ar-SA"/>
        </w:rPr>
        <w:t>一</w:t>
      </w:r>
      <w:r>
        <w:rPr>
          <w:rFonts w:ascii="Times New Roman" w:eastAsia="CESI仿宋-GB13000" w:cs="Times New Roman" w:hAnsi="Times New Roman"/>
          <w:bCs/>
          <w:sz w:val="32"/>
          <w:szCs w:val="32"/>
          <w:lang w:val="en-US" w:eastAsia="zh-CN" w:bidi="ar-SA"/>
        </w:rPr>
        <w:t>条 如果本协议任何一方因不可抗力不能履行本协议的，可根据不可抗力的影响，部分或全部免除该方的责任。任何一方遭到不可抗力时，应及时通知其他方，并在合理期限内提供不可抗力影响的证明，采取适当措施防止其他方损失的扩大和保护资金的完整。</w:t>
      </w:r>
    </w:p>
    <w:p>
      <w:pPr>
        <w:keepNext w:val="0"/>
        <w:keepLines w:val="0"/>
        <w:pageBreakBefore w:val="0"/>
        <w:widowControl w:val="0"/>
        <w:kinsoku/>
        <w:wordWrap/>
        <w:overflowPunct/>
        <w:topLinePunct w:val="0"/>
        <w:autoSpaceDE/>
        <w:autoSpaceDN/>
        <w:bidi w:val="0"/>
        <w:adjustRightInd/>
        <w:snapToGrid/>
        <w:spacing w:beforeLines="50" w:before="156" w:afterLines="50" w:after="156" w:line="576" w:lineRule="exact"/>
        <w:ind w:left="0" w:firstLine="0"/>
        <w:jc w:val="center"/>
        <w:textAlignment w:val="auto"/>
        <w:rPr>
          <w:rFonts w:ascii="Times New Roman" w:eastAsia="方正黑体_GBK" w:cs="Times New Roman" w:hAnsi="Times New Roman"/>
          <w:bCs/>
          <w:sz w:val="32"/>
          <w:szCs w:val="32"/>
          <w:lang w:bidi="ar-SA"/>
        </w:rPr>
      </w:pPr>
      <w:r>
        <w:rPr>
          <w:rFonts w:ascii="Times New Roman" w:eastAsia="方正黑体_GBK" w:cs="Times New Roman" w:hAnsi="Times New Roman"/>
          <w:bCs/>
          <w:sz w:val="32"/>
          <w:szCs w:val="32"/>
          <w:lang w:bidi="ar-SA"/>
        </w:rPr>
        <w:t>第六章</w:t>
      </w:r>
      <w:r>
        <w:rPr>
          <w:rFonts w:eastAsia="方正黑体_GBK" w:cs="Times New Roman" w:hint="eastAsia"/>
          <w:bCs/>
          <w:sz w:val="32"/>
          <w:szCs w:val="32"/>
          <w:lang w:eastAsia="zh-CN" w:bidi="ar-SA"/>
        </w:rPr>
        <w:t>　</w:t>
      </w:r>
      <w:r>
        <w:rPr>
          <w:rFonts w:ascii="Times New Roman" w:eastAsia="方正黑体_GBK" w:cs="Times New Roman" w:hAnsi="Times New Roman"/>
          <w:bCs/>
          <w:sz w:val="32"/>
          <w:szCs w:val="32"/>
          <w:lang w:bidi="ar-SA"/>
        </w:rPr>
        <w:t>其</w:t>
      </w:r>
      <w:r>
        <w:rPr>
          <w:rFonts w:eastAsia="方正黑体_GBK" w:cs="Times New Roman" w:hint="eastAsia"/>
          <w:bCs/>
          <w:sz w:val="32"/>
          <w:szCs w:val="32"/>
          <w:lang w:eastAsia="zh-CN" w:bidi="ar-SA"/>
        </w:rPr>
        <w:t>　</w:t>
      </w:r>
      <w:r>
        <w:rPr>
          <w:rFonts w:ascii="Times New Roman" w:eastAsia="方正黑体_GBK" w:cs="Times New Roman" w:hAnsi="Times New Roman"/>
          <w:bCs/>
          <w:sz w:val="32"/>
          <w:szCs w:val="32"/>
          <w:lang w:bidi="ar-SA"/>
        </w:rPr>
        <w:t>他</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第十</w:t>
      </w:r>
      <w:r>
        <w:rPr>
          <w:rFonts w:ascii="Times New Roman" w:eastAsia="CESI仿宋-GB13000" w:cs="Times New Roman" w:hAnsi="Times New Roman"/>
          <w:bCs/>
          <w:sz w:val="32"/>
          <w:szCs w:val="32"/>
          <w:lang w:val="en-US" w:eastAsia="zh-CN" w:bidi="ar-SA"/>
        </w:rPr>
        <w:t>二</w:t>
      </w:r>
      <w:r>
        <w:rPr>
          <w:rFonts w:ascii="Times New Roman" w:eastAsia="CESI仿宋-GB13000" w:cs="Times New Roman" w:hAnsi="Times New Roman"/>
          <w:bCs/>
          <w:sz w:val="32"/>
          <w:szCs w:val="32"/>
          <w:lang w:val="en-US" w:eastAsia="zh-CN" w:bidi="ar-SA"/>
        </w:rPr>
        <w:t>条 除法律、法规规定，以及因本项目专用账户资金监管业务的需要和甲、乙、丙三方特别约定外，未经甲、乙、丙三方同意，协议三方不得向外提供涉及甲、乙、丙方商业秘密的资料。</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第十</w:t>
      </w:r>
      <w:r>
        <w:rPr>
          <w:rFonts w:ascii="Times New Roman" w:eastAsia="CESI仿宋-GB13000" w:cs="Times New Roman" w:hAnsi="Times New Roman"/>
          <w:bCs/>
          <w:sz w:val="32"/>
          <w:szCs w:val="32"/>
          <w:lang w:val="en-US" w:eastAsia="zh-CN" w:bidi="ar-SA"/>
        </w:rPr>
        <w:t>三</w:t>
      </w:r>
      <w:r>
        <w:rPr>
          <w:rFonts w:ascii="Times New Roman" w:eastAsia="CESI仿宋-GB13000" w:cs="Times New Roman" w:hAnsi="Times New Roman"/>
          <w:bCs/>
          <w:sz w:val="32"/>
          <w:szCs w:val="32"/>
          <w:lang w:val="en-US" w:eastAsia="zh-CN" w:bidi="ar-SA"/>
        </w:rPr>
        <w:t>条 协议的变更。本协议生效后，甲、乙、丙三方中任何一方需要变更协议条款时，应经三方协商一致，并签订补充协议，补充协议与本协议具有同等法律效力。</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第十</w:t>
      </w:r>
      <w:r>
        <w:rPr>
          <w:rFonts w:ascii="Times New Roman" w:eastAsia="CESI仿宋-GB13000" w:cs="Times New Roman" w:hAnsi="Times New Roman"/>
          <w:bCs/>
          <w:sz w:val="32"/>
          <w:szCs w:val="32"/>
          <w:lang w:val="en-US" w:eastAsia="zh-CN" w:bidi="ar-SA"/>
        </w:rPr>
        <w:t>四</w:t>
      </w:r>
      <w:r>
        <w:rPr>
          <w:rFonts w:ascii="Times New Roman" w:eastAsia="CESI仿宋-GB13000" w:cs="Times New Roman" w:hAnsi="Times New Roman"/>
          <w:bCs/>
          <w:sz w:val="32"/>
          <w:szCs w:val="32"/>
          <w:lang w:val="en-US" w:eastAsia="zh-CN" w:bidi="ar-SA"/>
        </w:rPr>
        <w:t>条 本协议一式三份，甲、乙、丙三方各执壹份，每份具有同等法律效力。</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420"/>
        <w:jc w:val="left"/>
        <w:textAlignment w:val="auto"/>
        <w:rPr>
          <w:lang w:val="en-US" w:eastAsia="zh-CN"/>
        </w:rPr>
      </w:pPr>
    </w:p>
    <w:p>
      <w:pPr>
        <w:keepNext w:val="0"/>
        <w:keepLines w:val="0"/>
        <w:pageBreakBefore w:val="0"/>
        <w:widowControl w:val="0"/>
        <w:kinsoku/>
        <w:wordWrap/>
        <w:overflowPunct/>
        <w:topLinePunct w:val="0"/>
        <w:autoSpaceDE/>
        <w:autoSpaceDN/>
        <w:adjustRightInd/>
        <w:snapToGrid/>
        <w:spacing w:line="576" w:lineRule="exact"/>
        <w:ind w:left="0" w:firstLineChars="200" w:firstLine="640"/>
        <w:jc w:val="left"/>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甲方（印章）：        法定代表人或授权代理人：（签字）</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签订日期：   年  月  日</w:t>
      </w:r>
    </w:p>
    <w:p>
      <w:pPr>
        <w:keepNext w:val="0"/>
        <w:keepLines w:val="0"/>
        <w:pageBreakBefore w:val="0"/>
        <w:widowControl w:val="0"/>
        <w:kinsoku/>
        <w:wordWrap/>
        <w:overflowPunct/>
        <w:topLinePunct w:val="0"/>
        <w:autoSpaceDE/>
        <w:autoSpaceDN/>
        <w:adjustRightInd/>
        <w:snapToGrid/>
        <w:spacing w:line="576" w:lineRule="exact"/>
        <w:ind w:left="0" w:firstLineChars="200" w:firstLine="640"/>
        <w:jc w:val="left"/>
        <w:rPr>
          <w:rFonts w:ascii="Times New Roman" w:eastAsia="CESI仿宋-GB13000" w:cs="Times New Roman" w:hAnsi="Times New Roman"/>
          <w:bCs/>
          <w:sz w:val="32"/>
          <w:szCs w:val="32"/>
          <w:lang w:val="en-US" w:eastAsia="zh-CN" w:bidi="ar-SA"/>
        </w:rPr>
      </w:pPr>
    </w:p>
    <w:p>
      <w:pPr>
        <w:keepNext w:val="0"/>
        <w:keepLines w:val="0"/>
        <w:pageBreakBefore w:val="0"/>
        <w:widowControl w:val="0"/>
        <w:kinsoku/>
        <w:wordWrap/>
        <w:overflowPunct/>
        <w:topLinePunct w:val="0"/>
        <w:autoSpaceDE/>
        <w:autoSpaceDN/>
        <w:adjustRightInd/>
        <w:snapToGrid/>
        <w:spacing w:line="576" w:lineRule="exact"/>
        <w:ind w:left="0" w:firstLineChars="200" w:firstLine="640"/>
        <w:jc w:val="left"/>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乙方（印章）：        法定代表人或授权代理人：（签字）</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签订日期：   年  月  日</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lang w:val="en-US" w:eastAsia="zh-CN"/>
        </w:rPr>
      </w:pPr>
    </w:p>
    <w:p>
      <w:pPr>
        <w:keepNext w:val="0"/>
        <w:keepLines w:val="0"/>
        <w:pageBreakBefore w:val="0"/>
        <w:widowControl w:val="0"/>
        <w:kinsoku/>
        <w:wordWrap/>
        <w:overflowPunct/>
        <w:topLinePunct w:val="0"/>
        <w:autoSpaceDE/>
        <w:autoSpaceDN/>
        <w:adjustRightInd/>
        <w:snapToGrid/>
        <w:spacing w:line="576" w:lineRule="exact"/>
        <w:ind w:left="0" w:firstLineChars="200" w:firstLine="640"/>
        <w:jc w:val="left"/>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丙方（印章）：        法定代表人或授权代理人：（签字）</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CESI仿宋-GB13000" w:cs="Times New Roman" w:hAnsi="Times New Roman"/>
          <w:bCs/>
          <w:sz w:val="32"/>
          <w:szCs w:val="32"/>
          <w:lang w:val="en-US" w:eastAsia="zh-CN" w:bidi="ar-SA"/>
        </w:rPr>
      </w:pPr>
      <w:r>
        <w:rPr>
          <w:rFonts w:ascii="Times New Roman" w:eastAsia="CESI仿宋-GB13000" w:cs="Times New Roman" w:hAnsi="Times New Roman"/>
          <w:bCs/>
          <w:sz w:val="32"/>
          <w:szCs w:val="32"/>
          <w:lang w:val="en-US" w:eastAsia="zh-CN" w:bidi="ar-SA"/>
        </w:rPr>
        <w:t>签订日期：   年  月  日</w:t>
      </w:r>
    </w:p>
    <w:p>
      <w:pPr>
        <w:pStyle w:val="4"/>
        <w:ind w:left="0" w:firstLineChars="0" w:firstLine="0"/>
        <w:rPr>
          <w:lang w:val="en-US" w:eastAsia="zh-CN"/>
        </w:rPr>
      </w:pPr>
    </w:p>
    <w:p>
      <w:pPr>
        <w:keepNext w:val="0"/>
        <w:keepLines w:val="0"/>
        <w:pageBreakBefore w:val="0"/>
        <w:widowControl w:val="0"/>
        <w:kinsoku/>
        <w:wordWrap/>
        <w:overflowPunct/>
        <w:topLinePunct w:val="0"/>
        <w:autoSpaceDE/>
        <w:autoSpaceDN/>
        <w:adjustRightInd/>
        <w:snapToGrid/>
        <w:spacing w:line="576" w:lineRule="exact"/>
        <w:ind w:left="0" w:firstLineChars="200" w:firstLine="640"/>
        <w:jc w:val="left"/>
      </w:pPr>
      <w:r>
        <w:rPr>
          <w:rFonts w:ascii="Times New Roman" w:eastAsia="CESI仿宋-GB13000" w:cs="Times New Roman" w:hAnsi="Times New Roman"/>
          <w:bCs/>
          <w:sz w:val="32"/>
          <w:szCs w:val="32"/>
          <w:lang w:val="en-US" w:eastAsia="zh-CN" w:bidi="ar-SA"/>
        </w:rPr>
        <w:t>（注：本协议为参考文本，在此基础上，协议三方可根据实际情况进行</w:t>
      </w:r>
      <w:r>
        <w:rPr>
          <w:rFonts w:eastAsia="CESI仿宋-GB13000" w:cs="Times New Roman" w:hint="eastAsia"/>
          <w:bCs/>
          <w:sz w:val="32"/>
          <w:szCs w:val="32"/>
          <w:lang w:val="en-US" w:eastAsia="zh-CN" w:bidi="ar-SA"/>
        </w:rPr>
        <w:t>补充）</w:t>
      </w:r>
      <w:bookmarkStart w:id="0" w:name="_GoBack"/>
      <w:bookmarkEnd w:id="0"/>
    </w:p>
    <w:sectPr>
      <w:pgSz w:w="11906" w:h="16838"/>
      <w:pgMar w:top="2098" w:right="1531" w:bottom="1871" w:left="153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altName w:val="DejaVu Sans"/>
    <w:panose1 w:val="02020603050405020304"/>
    <w:charset w:val="00"/>
    <w:family w:val="roman"/>
    <w:pitch w:val="variable"/>
    <w:sig w:usb0="20007A87" w:usb1="80000000" w:usb2="00000008" w:usb3="00000000" w:csb0="000001FF" w:csb1="00000000"/>
  </w:font>
  <w:font w:name="黑体">
    <w:altName w:val="方正黑体_GBK"/>
    <w:panose1 w:val="02010609060101010101"/>
    <w:charset w:val="86"/>
    <w:family w:val="auto"/>
    <w:pitch w:val="variable"/>
    <w:sig w:usb0="800002BF" w:usb1="38CF7CFA" w:usb2="00000016" w:usb3="00000000" w:csb0="00040001" w:csb1="00000000"/>
  </w:font>
  <w:font w:name="宋体">
    <w:altName w:val="方正书宋_GBK"/>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variable"/>
    <w:sig w:usb0="00000001" w:usb1="080E0000" w:usb2="00000000" w:usb3="00000000" w:csb0="00040000" w:csb1="00000000"/>
  </w:font>
  <w:font w:name="CESI仿宋-GB13000">
    <w:altName w:val="仿宋"/>
    <w:panose1 w:val="02000500000000000000"/>
    <w:charset w:val="86"/>
    <w:family w:val="script"/>
    <w:pitch w:val="variable"/>
    <w:sig w:usb0="00000000" w:usb1="00000000" w:usb2="00000016" w:usb3="00000000" w:csb0="0004000F" w:csb1="00000000"/>
  </w:font>
  <w:font w:name="方正黑体_GBK">
    <w:altName w:val="Arial Unicode MS"/>
    <w:panose1 w:val="03000509000000000000"/>
    <w:charset w:val="86"/>
    <w:family w:val="script"/>
    <w:pitch w:val="variable"/>
    <w:sig w:usb0="00000000" w:usb1="00000000" w:usb2="00000000" w:usb3="00000000" w:csb0="00040000" w:csb1="00000000"/>
  </w:font>
  <w:font w:name="Luxi Sans">
    <w:altName w:val="DejaVu Sans"/>
    <w:panose1 w:val="00000000000000000000"/>
    <w:charset w:val="00"/>
    <w:family w:val="auto"/>
    <w:pitch w:val="variable"/>
    <w:sig w:usb0="00000000" w:usb1="00000000" w:usb2="00000000" w:usb3="00000000" w:csb0="00000000" w:csb1="00000000"/>
  </w:font>
  <w:font w:name="Cambria">
    <w:altName w:val="DejaVu Sans"/>
    <w:panose1 w:val="02040503050406030204"/>
    <w:charset w:val="00"/>
    <w:family w:val="roman"/>
    <w:pitch w:val="variable"/>
    <w:sig w:usb0="E00002FF" w:usb1="400004FF" w:usb2="00000000"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4"/>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paragraph" w:styleId="4">
    <w:name w:val="heading 4"/>
    <w:basedOn w:val="0"/>
    <w:next w:val="0"/>
    <w:pPr>
      <w:keepNext/>
      <w:keepLines/>
      <w:widowControl w:val="0"/>
      <w:spacing w:before="280" w:after="290" w:line="377" w:lineRule="auto"/>
      <w:ind w:firstLineChars="250" w:firstLine="250"/>
      <w:outlineLvl w:val="3"/>
    </w:pPr>
    <w:rPr>
      <w:rFonts w:ascii="Cambria" w:eastAsia="宋体" w:cs="Cambria" w:hAnsi="Cambria"/>
      <w:b/>
      <w:bCs/>
      <w:sz w:val="28"/>
      <w:szCs w:val="28"/>
      <w:lang w:bidi="ar-SA"/>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6</Pages>
  <Words>2010</Words>
  <Characters>2020</Characters>
  <Lines>109</Lines>
  <Paragraphs>42</Paragraphs>
  <CharactersWithSpaces>2223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张玲</dc:creator>
  <cp:lastModifiedBy>uos</cp:lastModifiedBy>
  <cp:revision>1</cp:revision>
  <dcterms:created xsi:type="dcterms:W3CDTF">2022-04-25T03:32:00Z</dcterms:created>
  <dcterms:modified xsi:type="dcterms:W3CDTF">2022-04-25T05:45:16Z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0F034D52B0C143C89CE944629118FBDE</vt:lpwstr>
  </property>
</Properties>
</file>